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18.6.-   22.6.2018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 s marmeládou,čaj/mléko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Luštěninová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Srbské rizoto se sýrem,kyselá okurka,čaj/voda/mléko (7)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Chléb,drožďová pom.,jablko,čaj/mléko(1/1,1/2,7)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Houska,pom.máslo,mrkev,čaj/mléko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Kuřecí 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Vepřový přírodní plátek,</w:t>
            </w:r>
            <w:r>
              <w:rPr>
                <w:color w:val="000000"/>
                <w:sz w:val="32"/>
                <w:szCs w:val="32"/>
              </w:rPr>
              <w:t xml:space="preserve">nový </w:t>
            </w:r>
            <w:r>
              <w:rPr>
                <w:color w:val="000000"/>
                <w:sz w:val="32"/>
                <w:szCs w:val="32"/>
              </w:rPr>
              <w:t>brambor,salát,mošt/voda/mléko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špička,pom.Mlsný zahradník,čaj/mléko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Mleté koule v rajské omáčce,těstoviny,čaj/voda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Sezam houska,budapeštská pom.zdobená paprikou,čaj/mléko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Chléb,olejovková pom.,jablko,čaj/mléko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Boršč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Čočka se zeleninou a smetanou,vejce,čaj/voda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Rohlík,jarní vajíčková pom.,čaj/mléko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Bagetka,pórkové máslo,nektarinka,čaj/mléko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Rajská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 xml:space="preserve">Kuřecí maso po čínsku,rýže,mošt/voda/mléko (7) 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Houska,šunková pěna zdobená rajským,čaj/mléko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1267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2018-06-11T08:29:02Z</cp:lastPrinted>
  <dcterms:modified xsi:type="dcterms:W3CDTF">2018-06-11T08:31:57Z</dcterms:modified>
  <cp:revision>121</cp:revision>
</cp:coreProperties>
</file>